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8" w:type="dxa"/>
        <w:tblInd w:w="55"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4820"/>
        <w:gridCol w:w="4818"/>
      </w:tblGrid>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bookmarkStart w:id="0" w:name="_GoBack"/>
            <w:bookmarkEnd w:id="0"/>
            <w:r>
              <w:t>PROBLEMA</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jc w:val="center"/>
            </w:pPr>
            <w:r>
              <w:t>PROPOSTA</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r>
              <w:t>MALFUNZIONAMENTO PORTALE</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jc w:val="both"/>
            </w:pPr>
            <w:r>
              <w:t>Inserimento tempestivo dell'avviso di malfunzionamento nel pst, con previsione di orario di soluzione del problema, e comunicazione allo sportello per la diffusione agli iscritti. Previsione di rimessione in termini in caso di decadenze.</w:t>
            </w:r>
          </w:p>
          <w:p w:rsidR="00A40EAC" w:rsidRDefault="004249B8">
            <w:pPr>
              <w:pStyle w:val="Contenutotabella"/>
              <w:jc w:val="both"/>
            </w:pPr>
            <w:r>
              <w:t>Consentire in caso di disservizio il deposito in via analogica.</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r>
              <w:t>RITARDO NELL'ACCETTAZIONE DEGLI ATTI</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jc w:val="both"/>
            </w:pPr>
            <w:r>
              <w:t>1. Formazione del personale, con obbligo di accettazione nelle 24 ore lavorative successive.</w:t>
            </w:r>
          </w:p>
          <w:p w:rsidR="00A40EAC" w:rsidRDefault="004249B8">
            <w:pPr>
              <w:pStyle w:val="Contenutotabella"/>
              <w:jc w:val="both"/>
            </w:pPr>
            <w:r>
              <w:t>2. accettazione automatica del deposito.</w:t>
            </w:r>
          </w:p>
          <w:p w:rsidR="00A40EAC" w:rsidRDefault="004249B8">
            <w:pPr>
              <w:pStyle w:val="Contenutotabella"/>
              <w:jc w:val="both"/>
            </w:pPr>
            <w:r>
              <w:t>3. ricevuta di accettazione.</w:t>
            </w:r>
          </w:p>
          <w:p w:rsidR="00A40EAC" w:rsidRDefault="004249B8">
            <w:pPr>
              <w:pStyle w:val="Contenutotabella"/>
              <w:jc w:val="both"/>
            </w:pPr>
            <w:r>
              <w:t>4. abolizione controlli OCR</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r>
              <w:t>ATTO ABILITANTE:</w:t>
            </w:r>
          </w:p>
          <w:p w:rsidR="00A40EAC" w:rsidRDefault="004249B8">
            <w:pPr>
              <w:pStyle w:val="Contenutotabella"/>
              <w:jc w:val="both"/>
            </w:pPr>
            <w:r>
              <w:t>1. mancanza di copertura normativa;</w:t>
            </w:r>
          </w:p>
          <w:p w:rsidR="00A40EAC" w:rsidRDefault="004249B8">
            <w:pPr>
              <w:pStyle w:val="Contenutotabella"/>
              <w:jc w:val="both"/>
            </w:pPr>
            <w:r>
              <w:t>2. impossibilità di deposito in caso mancanza di RGNR</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A40EAC">
            <w:pPr>
              <w:pStyle w:val="Contenutotabella"/>
              <w:jc w:val="both"/>
            </w:pPr>
          </w:p>
          <w:p w:rsidR="00A40EAC" w:rsidRDefault="004A34E0">
            <w:pPr>
              <w:pStyle w:val="Contenutotabella"/>
              <w:jc w:val="both"/>
            </w:pPr>
            <w:r>
              <w:t>1</w:t>
            </w:r>
            <w:r w:rsidR="004249B8">
              <w:t xml:space="preserve"> abolizione dell'atto abilitante: se si conosce il numero di ruolo, è sufficiente inserire nella nomina il numero di ruolo;</w:t>
            </w:r>
          </w:p>
          <w:p w:rsidR="00A40EAC" w:rsidRDefault="004A34E0">
            <w:pPr>
              <w:pStyle w:val="Contenutotabella"/>
              <w:jc w:val="both"/>
            </w:pPr>
            <w:r>
              <w:t>2</w:t>
            </w:r>
            <w:r w:rsidR="004249B8">
              <w:t>. se non si conosce il numero di RGNR: attualmente il portale non consente il deposito:</w:t>
            </w:r>
          </w:p>
          <w:p w:rsidR="00A40EAC" w:rsidRDefault="004249B8">
            <w:pPr>
              <w:pStyle w:val="Contenutotabella"/>
              <w:jc w:val="both"/>
            </w:pPr>
            <w:r>
              <w:t>a) consentire il deposito della nomina con allegazione ad es. del verbale di identificazione e la precisazione che si tratta di fascicolo di recentissima formazione (eventualmente con flag) così da consentire al personale della Segreteria di trovare il fascicolo e di inserire la nomina; successiva comunicazione all'avvocato del numero di RGNR;</w:t>
            </w:r>
          </w:p>
          <w:p w:rsidR="00A40EAC" w:rsidRDefault="004249B8">
            <w:pPr>
              <w:pStyle w:val="Contenutotabella"/>
              <w:jc w:val="both"/>
            </w:pPr>
            <w:r>
              <w:t>b) depositare la nomina in via analogica, così da consentirne l'inserimento nel fascicolo.</w:t>
            </w:r>
          </w:p>
          <w:p w:rsidR="00A40EAC" w:rsidRDefault="00A40EAC">
            <w:pPr>
              <w:pStyle w:val="Contenutotabella"/>
              <w:jc w:val="both"/>
            </w:pP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pPr>
            <w:r>
              <w:t>MANCANZA DI RNGR</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jc w:val="both"/>
            </w:pPr>
            <w:r>
              <w:t>Prevedere la possibilità per tutti gli Uffici giudiziari di richiedere il 335 a mezzo PEC, con obbligo di rilascio tempestivo.</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pPr>
            <w:r>
              <w:t>PROCEDURA “SOLLECITO NOMINA”</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pPr>
            <w:r>
              <w:t>La procedura è prevista per i fascicoli nei quali l’avvocato è già nominato, ma che egli non “vede” tra quelli, sul PDP, sicché egli non può eseguire depositi.  Occorre risolvere “a monte” il problema: le segreterie dovrebbero inserire l’avvocato nell’anagrafe del fascicolo sin dalla prima nomina o, comunque, dovrebbero provvedervi al più presto, anche eventualmente con una massiva opera di “bonifica”. Diversamente, l’adempimento del “sollecito” da parte delle segreterie (che allo stato non è mai tempestivo) si risolve in una inammissibile autorizzazione da parte del cancelliere ad eseguire i depositi.</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r>
              <w:t xml:space="preserve">PROBLEMI NELL'INDICAZIONE </w:t>
            </w:r>
            <w:r>
              <w:lastRenderedPageBreak/>
              <w:t>DELL'ORARIO</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pPr>
            <w:r>
              <w:lastRenderedPageBreak/>
              <w:t xml:space="preserve">L'orologio del PDP è un'ora avanti: sistemare </w:t>
            </w:r>
            <w:r>
              <w:lastRenderedPageBreak/>
              <w:t>l'orario.</w:t>
            </w: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A40EAC">
            <w:pPr>
              <w:pStyle w:val="Contenutotabella"/>
              <w:jc w:val="center"/>
            </w:pP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A40EAC">
            <w:pPr>
              <w:pStyle w:val="Contenutotabella"/>
              <w:jc w:val="both"/>
            </w:pPr>
          </w:p>
        </w:tc>
      </w:tr>
      <w:tr w:rsidR="00A40EAC">
        <w:tc>
          <w:tcPr>
            <w:tcW w:w="4819" w:type="dxa"/>
            <w:tcBorders>
              <w:top w:val="single" w:sz="2" w:space="0" w:color="000001"/>
              <w:left w:val="single" w:sz="2" w:space="0" w:color="000001"/>
              <w:bottom w:val="single" w:sz="2" w:space="0" w:color="000001"/>
            </w:tcBorders>
            <w:shd w:val="clear" w:color="auto" w:fill="auto"/>
            <w:tcMar>
              <w:left w:w="51" w:type="dxa"/>
            </w:tcMar>
          </w:tcPr>
          <w:p w:rsidR="00A40EAC" w:rsidRDefault="004249B8">
            <w:pPr>
              <w:pStyle w:val="Contenutotabella"/>
              <w:jc w:val="center"/>
            </w:pPr>
            <w:r>
              <w:t>DEPOSITO SINO ALLLE ORE 13</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A40EAC" w:rsidRDefault="004249B8">
            <w:pPr>
              <w:pStyle w:val="Contenutotabella"/>
            </w:pPr>
            <w:r>
              <w:t>Si chiede che venga estesa anche al penale la previsione di cui all'art. 16/bis, comma 7 del DL 179/2012</w:t>
            </w:r>
          </w:p>
        </w:tc>
      </w:tr>
    </w:tbl>
    <w:p w:rsidR="00A40EAC" w:rsidRDefault="004A34E0" w:rsidP="004A34E0">
      <w:pPr>
        <w:rPr>
          <w:b/>
          <w:bCs/>
        </w:rPr>
      </w:pPr>
      <w:r>
        <w:rPr>
          <w:b/>
          <w:bCs/>
        </w:rPr>
        <w:t xml:space="preserve">In attesa della eliminazione delle criticità, precedere un sistema  di “ doppio binario “  che consenta anche il deposito con modalità cartacea  </w:t>
      </w:r>
    </w:p>
    <w:sectPr w:rsidR="00A40EAC">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AC"/>
    <w:rsid w:val="002A45A7"/>
    <w:rsid w:val="004249B8"/>
    <w:rsid w:val="004A34E0"/>
    <w:rsid w:val="00A40E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5B071-E567-45AC-9FD4-FC98ECB2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sz w:val="24"/>
    </w:rPr>
  </w:style>
  <w:style w:type="paragraph" w:styleId="Titolo1">
    <w:name w:val="heading 1"/>
    <w:basedOn w:val="Normale"/>
    <w:uiPriority w:val="9"/>
    <w:qFormat/>
    <w:pPr>
      <w:spacing w:before="240" w:after="120"/>
      <w:outlineLvl w:val="0"/>
    </w:pPr>
    <w:rPr>
      <w:b/>
      <w:bCs/>
      <w:sz w:val="36"/>
      <w:szCs w:val="36"/>
    </w:rPr>
  </w:style>
  <w:style w:type="paragraph" w:styleId="Titolo2">
    <w:name w:val="heading 2"/>
    <w:basedOn w:val="Normale"/>
    <w:uiPriority w:val="9"/>
    <w:semiHidden/>
    <w:unhideWhenUsed/>
    <w:qFormat/>
    <w:pPr>
      <w:spacing w:before="200" w:after="120"/>
      <w:outlineLvl w:val="1"/>
    </w:pPr>
    <w:rPr>
      <w:b/>
      <w:bCs/>
      <w:sz w:val="32"/>
      <w:szCs w:val="32"/>
    </w:rPr>
  </w:style>
  <w:style w:type="paragraph" w:styleId="Titolo3">
    <w:name w:val="heading 3"/>
    <w:basedOn w:val="Normale"/>
    <w:uiPriority w:val="9"/>
    <w:semiHidden/>
    <w:unhideWhenUsed/>
    <w:qFormat/>
    <w:pPr>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Arial" w:hAnsi="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principale">
    <w:name w:val="Titolo principale"/>
    <w:basedOn w:val="Normale"/>
    <w:uiPriority w:val="10"/>
    <w:qFormat/>
    <w:pPr>
      <w:jc w:val="center"/>
    </w:pPr>
    <w:rPr>
      <w:b/>
      <w:bCs/>
      <w:sz w:val="56"/>
      <w:szCs w:val="56"/>
    </w:rPr>
  </w:style>
  <w:style w:type="paragraph" w:customStyle="1" w:styleId="Testocitato">
    <w:name w:val="Testo citato"/>
    <w:basedOn w:val="Normale"/>
    <w:qFormat/>
    <w:pPr>
      <w:spacing w:after="283"/>
      <w:ind w:left="567" w:right="567"/>
    </w:pPr>
  </w:style>
  <w:style w:type="paragraph" w:styleId="Sottotitolo">
    <w:name w:val="Subtitle"/>
    <w:basedOn w:val="Normale"/>
    <w:uiPriority w:val="11"/>
    <w:qFormat/>
    <w:pPr>
      <w:spacing w:before="60" w:after="120"/>
      <w:jc w:val="center"/>
    </w:pPr>
    <w:rPr>
      <w:sz w:val="36"/>
      <w:szCs w:val="36"/>
    </w:rPr>
  </w:style>
  <w:style w:type="paragraph" w:customStyle="1" w:styleId="Contenutotabella">
    <w:name w:val="Contenuto tabella"/>
    <w:basedOn w:val="Normale"/>
    <w:qFormat/>
    <w:pPr>
      <w:suppressLineNumbers/>
    </w:pPr>
  </w:style>
  <w:style w:type="paragraph" w:customStyle="1" w:styleId="Quotations">
    <w:name w:val="Quotation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Secchieri</dc:creator>
  <cp:lastModifiedBy>avv. Giovanni Berti Arnoaldi Veli</cp:lastModifiedBy>
  <cp:revision>2</cp:revision>
  <dcterms:created xsi:type="dcterms:W3CDTF">2021-03-16T07:45:00Z</dcterms:created>
  <dcterms:modified xsi:type="dcterms:W3CDTF">2021-03-16T07:45:00Z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